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D22" w:rsidRPr="005B4C40" w:rsidRDefault="00B80D22" w:rsidP="00B80D22">
      <w:r>
        <w:t>ΤΡΙΤΗ ΟΜΑΔΑ</w:t>
      </w:r>
    </w:p>
    <w:p w:rsidR="00B80D22" w:rsidRPr="005049F1" w:rsidRDefault="00B80D22" w:rsidP="00B80D22">
      <w:pPr>
        <w:rPr>
          <w:i/>
        </w:rPr>
      </w:pPr>
      <w:r>
        <w:rPr>
          <w:i/>
        </w:rPr>
        <w:t>Για την ηλεκτρονική διακυβέρνηση</w:t>
      </w:r>
    </w:p>
    <w:p w:rsidR="00B80D22" w:rsidRDefault="00B80D22" w:rsidP="00B80D22">
      <w:r w:rsidRPr="005049F1">
        <w:t>http://www.imerisia.gr/article.asp?catid=27200&amp;subid=2&amp;pubid=113052488</w:t>
      </w:r>
    </w:p>
    <w:p w:rsidR="00B80D22" w:rsidRPr="005049F1" w:rsidRDefault="00B80D22" w:rsidP="00B80D22">
      <w:pPr>
        <w:spacing w:after="0" w:line="375" w:lineRule="atLeast"/>
        <w:outlineLvl w:val="1"/>
        <w:rPr>
          <w:rFonts w:ascii="Arial" w:eastAsia="Times New Roman" w:hAnsi="Arial" w:cs="Arial"/>
          <w:b/>
          <w:bCs/>
          <w:color w:val="2C2C2C"/>
          <w:kern w:val="36"/>
          <w:sz w:val="33"/>
          <w:szCs w:val="33"/>
        </w:rPr>
      </w:pPr>
      <w:r w:rsidRPr="005049F1">
        <w:rPr>
          <w:rFonts w:ascii="Arial" w:eastAsia="Times New Roman" w:hAnsi="Arial" w:cs="Arial"/>
          <w:b/>
          <w:bCs/>
          <w:color w:val="2C2C2C"/>
          <w:kern w:val="36"/>
          <w:sz w:val="33"/>
          <w:szCs w:val="33"/>
        </w:rPr>
        <w:t>Κινείται χαμηλά ακόμη η Ελλάδα στην ηλεκτρονική διακυβέρνηση</w:t>
      </w:r>
    </w:p>
    <w:p w:rsidR="00B80D22" w:rsidRPr="005049F1" w:rsidRDefault="00B80D22" w:rsidP="00B80D22">
      <w:pPr>
        <w:spacing w:after="0" w:line="255" w:lineRule="atLeast"/>
        <w:rPr>
          <w:rFonts w:ascii="Helvetica" w:eastAsia="Times New Roman" w:hAnsi="Helvetica" w:cs="Helvetica"/>
          <w:color w:val="2C2C2C"/>
          <w:sz w:val="21"/>
          <w:szCs w:val="21"/>
        </w:rPr>
      </w:pPr>
      <w:r>
        <w:rPr>
          <w:rFonts w:ascii="Helvetica" w:eastAsia="Times New Roman" w:hAnsi="Helvetica" w:cs="Helvetica"/>
          <w:noProof/>
          <w:color w:val="000000"/>
          <w:sz w:val="21"/>
          <w:szCs w:val="21"/>
        </w:rPr>
        <w:drawing>
          <wp:inline distT="0" distB="0" distL="0" distR="0">
            <wp:extent cx="4572000" cy="2714625"/>
            <wp:effectExtent l="19050" t="0" r="0" b="0"/>
            <wp:docPr id="3" name="Εικόνα 3" descr="Κινείται χαμηλά ακόμη η Ελλάδα στην ηλεκτρονική διακυβέρνηση">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ινείται χαμηλά ακόμη η Ελλάδα στην ηλεκτρονική διακυβέρνηση">
                      <a:hlinkClick r:id="rId5" tooltip="&quot;&quot;"/>
                    </pic:cNvPr>
                    <pic:cNvPicPr>
                      <a:picLocks noChangeAspect="1" noChangeArrowheads="1"/>
                    </pic:cNvPicPr>
                  </pic:nvPicPr>
                  <pic:blipFill>
                    <a:blip r:embed="rId6"/>
                    <a:srcRect/>
                    <a:stretch>
                      <a:fillRect/>
                    </a:stretch>
                  </pic:blipFill>
                  <pic:spPr bwMode="auto">
                    <a:xfrm>
                      <a:off x="0" y="0"/>
                      <a:ext cx="4572000" cy="2714625"/>
                    </a:xfrm>
                    <a:prstGeom prst="rect">
                      <a:avLst/>
                    </a:prstGeom>
                    <a:noFill/>
                    <a:ln w="9525">
                      <a:noFill/>
                      <a:miter lim="800000"/>
                      <a:headEnd/>
                      <a:tailEnd/>
                    </a:ln>
                  </pic:spPr>
                </pic:pic>
              </a:graphicData>
            </a:graphic>
          </wp:inline>
        </w:drawing>
      </w:r>
    </w:p>
    <w:p w:rsidR="00B80D22" w:rsidRPr="005049F1" w:rsidRDefault="00B80D22" w:rsidP="00B80D22">
      <w:pPr>
        <w:spacing w:after="0" w:line="255" w:lineRule="atLeast"/>
        <w:rPr>
          <w:rFonts w:ascii="Helvetica" w:eastAsia="Times New Roman" w:hAnsi="Helvetica" w:cs="Helvetica"/>
          <w:color w:val="2C2C2C"/>
          <w:sz w:val="21"/>
          <w:szCs w:val="21"/>
        </w:rPr>
      </w:pPr>
    </w:p>
    <w:p w:rsidR="00B80D22" w:rsidRPr="005049F1" w:rsidRDefault="00B80D22" w:rsidP="00B80D22">
      <w:pPr>
        <w:spacing w:after="0" w:line="255" w:lineRule="atLeast"/>
        <w:rPr>
          <w:rFonts w:ascii="Helvetica" w:eastAsia="Times New Roman" w:hAnsi="Helvetica" w:cs="Helvetica"/>
          <w:color w:val="2C2C2C"/>
          <w:sz w:val="21"/>
          <w:szCs w:val="21"/>
        </w:rPr>
      </w:pPr>
      <w:r w:rsidRPr="005049F1">
        <w:rPr>
          <w:rFonts w:ascii="Helvetica" w:eastAsia="Times New Roman" w:hAnsi="Helvetica" w:cs="Helvetica"/>
          <w:color w:val="2C2C2C"/>
          <w:sz w:val="21"/>
          <w:szCs w:val="21"/>
        </w:rPr>
        <w:t xml:space="preserve">Του Δημήτρη </w:t>
      </w:r>
      <w:proofErr w:type="spellStart"/>
      <w:r w:rsidRPr="005049F1">
        <w:rPr>
          <w:rFonts w:ascii="Helvetica" w:eastAsia="Times New Roman" w:hAnsi="Helvetica" w:cs="Helvetica"/>
          <w:color w:val="2C2C2C"/>
          <w:sz w:val="21"/>
          <w:szCs w:val="21"/>
        </w:rPr>
        <w:t>Μαλλά</w:t>
      </w:r>
      <w:proofErr w:type="spellEnd"/>
    </w:p>
    <w:p w:rsidR="00B80D22" w:rsidRPr="005049F1" w:rsidRDefault="00B80D22" w:rsidP="00B80D22">
      <w:pPr>
        <w:spacing w:after="0" w:line="255" w:lineRule="atLeast"/>
        <w:rPr>
          <w:rFonts w:ascii="Helvetica" w:eastAsia="Times New Roman" w:hAnsi="Helvetica" w:cs="Helvetica"/>
          <w:color w:val="2C2C2C"/>
          <w:sz w:val="21"/>
          <w:szCs w:val="21"/>
        </w:rPr>
      </w:pPr>
      <w:r w:rsidRPr="005049F1">
        <w:rPr>
          <w:rFonts w:ascii="Helvetica" w:eastAsia="Times New Roman" w:hAnsi="Helvetica" w:cs="Helvetica"/>
          <w:color w:val="2C2C2C"/>
          <w:sz w:val="21"/>
          <w:szCs w:val="21"/>
        </w:rPr>
        <w:t>dmallas@pegasus.gr</w:t>
      </w:r>
    </w:p>
    <w:p w:rsidR="00B80D22" w:rsidRPr="005049F1" w:rsidRDefault="00B80D22" w:rsidP="00B80D22">
      <w:pPr>
        <w:spacing w:after="0" w:line="255" w:lineRule="atLeast"/>
        <w:rPr>
          <w:rFonts w:ascii="Helvetica" w:eastAsia="Times New Roman" w:hAnsi="Helvetica" w:cs="Helvetica"/>
          <w:color w:val="2C2C2C"/>
          <w:sz w:val="21"/>
          <w:szCs w:val="21"/>
        </w:rPr>
      </w:pPr>
      <w:r w:rsidRPr="005049F1">
        <w:rPr>
          <w:rFonts w:ascii="Helvetica" w:eastAsia="Times New Roman" w:hAnsi="Helvetica" w:cs="Helvetica"/>
          <w:b/>
          <w:bCs/>
          <w:color w:val="2C2C2C"/>
          <w:sz w:val="21"/>
        </w:rPr>
        <w:t>Άλματα προόδου τόσο σε θεσμικό επίπεδο όσο και όσον αφορά την εκπαίδευση των πολιτών θα πρέπει να κάνει το ελληνικό Δημόσιο αν θέλει έστω και να πλησιάσει την Ευρωπαϊκή Ένωση στον τομέα της ηλεκτρονικής διακυβέρνησης. Είναι χαρακτηριστικό πως οι τελευταίες έρευνες και μελέτες από την Ελλάδα και το εξωτερικό δείχνουν αρκετά χαμηλές επιδόσεις σε σχέση με την υπόλοιπη Ευρώπη.</w:t>
      </w:r>
    </w:p>
    <w:p w:rsidR="00B80D22" w:rsidRPr="005049F1" w:rsidRDefault="00B80D22" w:rsidP="00B80D22">
      <w:pPr>
        <w:spacing w:after="0" w:line="255" w:lineRule="atLeast"/>
        <w:rPr>
          <w:rFonts w:ascii="Helvetica" w:eastAsia="Times New Roman" w:hAnsi="Helvetica" w:cs="Helvetica"/>
          <w:color w:val="2C2C2C"/>
          <w:sz w:val="21"/>
          <w:szCs w:val="21"/>
        </w:rPr>
      </w:pPr>
      <w:r w:rsidRPr="005049F1">
        <w:rPr>
          <w:rFonts w:ascii="Helvetica" w:eastAsia="Times New Roman" w:hAnsi="Helvetica" w:cs="Helvetica"/>
          <w:b/>
          <w:bCs/>
          <w:color w:val="2C2C2C"/>
          <w:sz w:val="21"/>
        </w:rPr>
        <w:t>Ελλάδα</w:t>
      </w:r>
    </w:p>
    <w:p w:rsidR="00B80D22" w:rsidRPr="005049F1" w:rsidRDefault="00B80D22" w:rsidP="00B80D22">
      <w:pPr>
        <w:spacing w:after="0" w:line="255" w:lineRule="atLeast"/>
        <w:rPr>
          <w:rFonts w:ascii="Helvetica" w:eastAsia="Times New Roman" w:hAnsi="Helvetica" w:cs="Helvetica"/>
          <w:color w:val="2C2C2C"/>
          <w:sz w:val="21"/>
          <w:szCs w:val="21"/>
        </w:rPr>
      </w:pPr>
      <w:r w:rsidRPr="005049F1">
        <w:rPr>
          <w:rFonts w:ascii="Helvetica" w:eastAsia="Times New Roman" w:hAnsi="Helvetica" w:cs="Helvetica"/>
          <w:color w:val="2C2C2C"/>
          <w:sz w:val="21"/>
          <w:szCs w:val="21"/>
        </w:rPr>
        <w:t xml:space="preserve">Συγκεκριμένα, σύμφωνα με τα στοιχεία της μελέτης </w:t>
      </w:r>
      <w:hyperlink r:id="rId7" w:history="1">
        <w:proofErr w:type="spellStart"/>
        <w:r w:rsidRPr="005049F1">
          <w:rPr>
            <w:rFonts w:ascii="Helvetica" w:eastAsia="Times New Roman" w:hAnsi="Helvetica" w:cs="Helvetica"/>
            <w:color w:val="000000"/>
            <w:sz w:val="21"/>
            <w:szCs w:val="21"/>
            <w:u w:val="single"/>
          </w:rPr>
          <w:t>eGovernment</w:t>
        </w:r>
        <w:proofErr w:type="spellEnd"/>
        <w:r w:rsidRPr="005049F1">
          <w:rPr>
            <w:rFonts w:ascii="Helvetica" w:eastAsia="Times New Roman" w:hAnsi="Helvetica" w:cs="Helvetica"/>
            <w:color w:val="000000"/>
            <w:sz w:val="21"/>
            <w:szCs w:val="21"/>
            <w:u w:val="single"/>
          </w:rPr>
          <w:t xml:space="preserve"> </w:t>
        </w:r>
        <w:proofErr w:type="spellStart"/>
        <w:r w:rsidRPr="005049F1">
          <w:rPr>
            <w:rFonts w:ascii="Helvetica" w:eastAsia="Times New Roman" w:hAnsi="Helvetica" w:cs="Helvetica"/>
            <w:color w:val="000000"/>
            <w:sz w:val="21"/>
            <w:szCs w:val="21"/>
            <w:u w:val="single"/>
          </w:rPr>
          <w:t>Benchmark</w:t>
        </w:r>
        <w:proofErr w:type="spellEnd"/>
        <w:r w:rsidRPr="005049F1">
          <w:rPr>
            <w:rFonts w:ascii="Helvetica" w:eastAsia="Times New Roman" w:hAnsi="Helvetica" w:cs="Helvetica"/>
            <w:color w:val="000000"/>
            <w:sz w:val="21"/>
            <w:szCs w:val="21"/>
            <w:u w:val="single"/>
          </w:rPr>
          <w:t xml:space="preserve"> 2012</w:t>
        </w:r>
      </w:hyperlink>
      <w:r w:rsidRPr="005049F1">
        <w:rPr>
          <w:rFonts w:ascii="Helvetica" w:eastAsia="Times New Roman" w:hAnsi="Helvetica" w:cs="Helvetica"/>
          <w:color w:val="2C2C2C"/>
          <w:sz w:val="21"/>
          <w:szCs w:val="21"/>
        </w:rPr>
        <w:t xml:space="preserve"> που πραγματοποιήθηκε για λογαριασμό της Ευρωπαϊκής Ένωσης και συμμετείχαν 28.000 πολίτες από 32 χώρες, στην Ελλάδα μόλις το 21% των πολιτών ασχολείται ενεργά με την ηλεκτρονική διακυβέρνηση όταν ο ευρωπαϊκός μέσος όρος είναι στο 26%. Σημειωτέον πως η έρευνα, για την οποία εργάστηκαν εταιρείες όπως η </w:t>
      </w:r>
      <w:proofErr w:type="spellStart"/>
      <w:r w:rsidRPr="005049F1">
        <w:rPr>
          <w:rFonts w:ascii="Helvetica" w:eastAsia="Times New Roman" w:hAnsi="Helvetica" w:cs="Helvetica"/>
          <w:color w:val="2C2C2C"/>
          <w:sz w:val="21"/>
          <w:szCs w:val="21"/>
        </w:rPr>
        <w:t>CapGemini</w:t>
      </w:r>
      <w:proofErr w:type="spellEnd"/>
      <w:r w:rsidRPr="005049F1">
        <w:rPr>
          <w:rFonts w:ascii="Helvetica" w:eastAsia="Times New Roman" w:hAnsi="Helvetica" w:cs="Helvetica"/>
          <w:color w:val="2C2C2C"/>
          <w:sz w:val="21"/>
          <w:szCs w:val="21"/>
        </w:rPr>
        <w:t xml:space="preserve"> και η IDC, χαρακτηρίζει ως ενεργό κάποιον που χρησιμοποιεί εφαρμογές ηλεκτρονικής διακυβέρνησης για 19 διαφορετικές καταστάσεις. Από την άλλη, έστω και μία φορά έχουν χρησιμοποιήσει μία υπηρεσία ηλεκτρονικής διακυβέρνησης το 41% των Ελλήνων πολιτών. Σημειωτέον πως, σύμφωνα με την </w:t>
      </w:r>
      <w:proofErr w:type="spellStart"/>
      <w:r w:rsidRPr="005049F1">
        <w:rPr>
          <w:rFonts w:ascii="Helvetica" w:eastAsia="Times New Roman" w:hAnsi="Helvetica" w:cs="Helvetica"/>
          <w:color w:val="2C2C2C"/>
          <w:sz w:val="21"/>
          <w:szCs w:val="21"/>
        </w:rPr>
        <w:t>Eurostat</w:t>
      </w:r>
      <w:proofErr w:type="spellEnd"/>
      <w:r w:rsidRPr="005049F1">
        <w:rPr>
          <w:rFonts w:ascii="Helvetica" w:eastAsia="Times New Roman" w:hAnsi="Helvetica" w:cs="Helvetica"/>
          <w:color w:val="2C2C2C"/>
          <w:sz w:val="21"/>
          <w:szCs w:val="21"/>
        </w:rPr>
        <w:t>, το ποσοστό χρήσης υπηρεσιών ηλεκτρονικής διακυβέρνησης στην Ελλάδα το 2012 ήταν στο 34%.</w:t>
      </w:r>
    </w:p>
    <w:p w:rsidR="00B80D22" w:rsidRPr="005049F1" w:rsidRDefault="00B80D22" w:rsidP="00B80D22">
      <w:pPr>
        <w:spacing w:after="0" w:line="255" w:lineRule="atLeast"/>
        <w:rPr>
          <w:rFonts w:ascii="Helvetica" w:eastAsia="Times New Roman" w:hAnsi="Helvetica" w:cs="Helvetica"/>
          <w:color w:val="2C2C2C"/>
          <w:sz w:val="21"/>
          <w:szCs w:val="21"/>
        </w:rPr>
      </w:pPr>
      <w:r w:rsidRPr="005049F1">
        <w:rPr>
          <w:rFonts w:ascii="Helvetica" w:eastAsia="Times New Roman" w:hAnsi="Helvetica" w:cs="Helvetica"/>
          <w:color w:val="2C2C2C"/>
          <w:sz w:val="21"/>
          <w:szCs w:val="21"/>
        </w:rPr>
        <w:t>Το πρόβλημα πάντως δεν είναι ποσοτικό αλλά και ποιοτικό. Σύμφωνα με προκαταρκτικά στοιχεία έρευνας του Παρατηρητηρίου για τη Διοικητική Μεταρρύθμιση της Κοινωνίας της Πληροφορίας, τα ποσοστά των πολιτών που χρησιμοποιούν υπηρεσίες ηλεκτρονικής διακυβέρνησης -ανά είδος χρήσης- έχουν ως εξής:</w:t>
      </w:r>
    </w:p>
    <w:p w:rsidR="00B80D22" w:rsidRPr="005049F1" w:rsidRDefault="00B80D22" w:rsidP="00B80D22">
      <w:pPr>
        <w:spacing w:after="0" w:line="255" w:lineRule="atLeast"/>
        <w:rPr>
          <w:rFonts w:ascii="Helvetica" w:eastAsia="Times New Roman" w:hAnsi="Helvetica" w:cs="Helvetica"/>
          <w:color w:val="2C2C2C"/>
          <w:sz w:val="21"/>
          <w:szCs w:val="21"/>
        </w:rPr>
      </w:pPr>
      <w:r w:rsidRPr="005049F1">
        <w:rPr>
          <w:rFonts w:ascii="Helvetica" w:eastAsia="Times New Roman" w:hAnsi="Helvetica" w:cs="Helvetica"/>
          <w:color w:val="2C2C2C"/>
          <w:sz w:val="21"/>
          <w:szCs w:val="21"/>
        </w:rPr>
        <w:t xml:space="preserve">- Λήψη πληροφοριών από </w:t>
      </w:r>
      <w:proofErr w:type="spellStart"/>
      <w:r w:rsidRPr="005049F1">
        <w:rPr>
          <w:rFonts w:ascii="Helvetica" w:eastAsia="Times New Roman" w:hAnsi="Helvetica" w:cs="Helvetica"/>
          <w:color w:val="2C2C2C"/>
          <w:sz w:val="21"/>
          <w:szCs w:val="21"/>
        </w:rPr>
        <w:t>sites</w:t>
      </w:r>
      <w:proofErr w:type="spellEnd"/>
      <w:r w:rsidRPr="005049F1">
        <w:rPr>
          <w:rFonts w:ascii="Helvetica" w:eastAsia="Times New Roman" w:hAnsi="Helvetica" w:cs="Helvetica"/>
          <w:color w:val="2C2C2C"/>
          <w:sz w:val="21"/>
          <w:szCs w:val="21"/>
        </w:rPr>
        <w:t xml:space="preserve"> δημοσίων φορέων: 15,5%</w:t>
      </w:r>
    </w:p>
    <w:p w:rsidR="00B80D22" w:rsidRPr="005049F1" w:rsidRDefault="00B80D22" w:rsidP="00B80D22">
      <w:pPr>
        <w:spacing w:after="0" w:line="255" w:lineRule="atLeast"/>
        <w:rPr>
          <w:rFonts w:ascii="Helvetica" w:eastAsia="Times New Roman" w:hAnsi="Helvetica" w:cs="Helvetica"/>
          <w:color w:val="2C2C2C"/>
          <w:sz w:val="21"/>
          <w:szCs w:val="21"/>
        </w:rPr>
      </w:pPr>
      <w:r w:rsidRPr="005049F1">
        <w:rPr>
          <w:rFonts w:ascii="Helvetica" w:eastAsia="Times New Roman" w:hAnsi="Helvetica" w:cs="Helvetica"/>
          <w:color w:val="2C2C2C"/>
          <w:sz w:val="21"/>
          <w:szCs w:val="21"/>
        </w:rPr>
        <w:t>- Ηλεκτρονική λήψη εντύπων: 12,1%</w:t>
      </w:r>
    </w:p>
    <w:p w:rsidR="00B80D22" w:rsidRPr="005049F1" w:rsidRDefault="00B80D22" w:rsidP="00B80D22">
      <w:pPr>
        <w:spacing w:after="0" w:line="255" w:lineRule="atLeast"/>
        <w:rPr>
          <w:rFonts w:ascii="Helvetica" w:eastAsia="Times New Roman" w:hAnsi="Helvetica" w:cs="Helvetica"/>
          <w:color w:val="2C2C2C"/>
          <w:sz w:val="21"/>
          <w:szCs w:val="21"/>
        </w:rPr>
      </w:pPr>
      <w:r w:rsidRPr="005049F1">
        <w:rPr>
          <w:rFonts w:ascii="Helvetica" w:eastAsia="Times New Roman" w:hAnsi="Helvetica" w:cs="Helvetica"/>
          <w:color w:val="2C2C2C"/>
          <w:sz w:val="21"/>
          <w:szCs w:val="21"/>
        </w:rPr>
        <w:t>- Ηλεκτρονική αποστολή συμπληρωμένων φορμών: 14,2%</w:t>
      </w:r>
    </w:p>
    <w:p w:rsidR="00B80D22" w:rsidRPr="005049F1" w:rsidRDefault="00B80D22" w:rsidP="00B80D22">
      <w:pPr>
        <w:spacing w:after="0" w:line="255" w:lineRule="atLeast"/>
        <w:rPr>
          <w:rFonts w:ascii="Helvetica" w:eastAsia="Times New Roman" w:hAnsi="Helvetica" w:cs="Helvetica"/>
          <w:color w:val="2C2C2C"/>
          <w:sz w:val="21"/>
          <w:szCs w:val="21"/>
        </w:rPr>
      </w:pPr>
      <w:r w:rsidRPr="005049F1">
        <w:rPr>
          <w:rFonts w:ascii="Helvetica" w:eastAsia="Times New Roman" w:hAnsi="Helvetica" w:cs="Helvetica"/>
          <w:color w:val="2C2C2C"/>
          <w:sz w:val="21"/>
          <w:szCs w:val="21"/>
        </w:rPr>
        <w:t>- Πλήρης ηλεκτρονική διεκπεραίωση συναλλαγών: 14,4%</w:t>
      </w:r>
    </w:p>
    <w:p w:rsidR="00B80D22" w:rsidRPr="005049F1" w:rsidRDefault="00B80D22" w:rsidP="00B80D22">
      <w:pPr>
        <w:spacing w:after="0" w:line="255" w:lineRule="atLeast"/>
        <w:rPr>
          <w:rFonts w:ascii="Helvetica" w:eastAsia="Times New Roman" w:hAnsi="Helvetica" w:cs="Helvetica"/>
          <w:color w:val="2C2C2C"/>
          <w:sz w:val="21"/>
          <w:szCs w:val="21"/>
        </w:rPr>
      </w:pPr>
      <w:r w:rsidRPr="005049F1">
        <w:rPr>
          <w:rFonts w:ascii="Helvetica" w:eastAsia="Times New Roman" w:hAnsi="Helvetica" w:cs="Helvetica"/>
          <w:color w:val="2C2C2C"/>
          <w:sz w:val="21"/>
          <w:szCs w:val="21"/>
        </w:rPr>
        <w:lastRenderedPageBreak/>
        <w:t>Τα ποσοστά είναι μάλλον χαμηλά και κυρίως είναι εκείνο της πλήρης ηλεκτρονικής διεκπεραίωσης συναλλαγών. Βέβαια, αυτό δεν είναι απαραίτητο ότι οφείλεται στην έλλειψη ενδιαφέροντος από την πλευρά των πολιτών, αλλά και στο γεγονός ότι το ελληνικό κράτος δεν έχει κάνει διαθέσιμες τις υπηρεσίες ηλεκτρονικά. Κάτι που προκύπτει και από το γεγονός ότι από τους Έλληνες που χρησιμοποιούν το Διαδίκτυο, το 74% έχει κάνει χρήση υπηρεσιών ηλεκτρονικής διακυβέρνησης. Ποσοστό που είναι από τα υψηλότερα στην ΕΕ, όπου ο μέσος όρος είναι στο 61%. Άρα, υπάρχει ενδιαφέρον από την πλευρά των πολιτών.</w:t>
      </w:r>
    </w:p>
    <w:p w:rsidR="00B80D22" w:rsidRPr="005049F1" w:rsidRDefault="00B80D22" w:rsidP="00B80D22">
      <w:pPr>
        <w:spacing w:after="0" w:line="255" w:lineRule="atLeast"/>
        <w:rPr>
          <w:rFonts w:ascii="Helvetica" w:eastAsia="Times New Roman" w:hAnsi="Helvetica" w:cs="Helvetica"/>
          <w:color w:val="2C2C2C"/>
          <w:sz w:val="21"/>
          <w:szCs w:val="21"/>
        </w:rPr>
      </w:pPr>
      <w:r w:rsidRPr="005049F1">
        <w:rPr>
          <w:rFonts w:ascii="Helvetica" w:eastAsia="Times New Roman" w:hAnsi="Helvetica" w:cs="Helvetica"/>
          <w:color w:val="2C2C2C"/>
          <w:sz w:val="21"/>
          <w:szCs w:val="21"/>
        </w:rPr>
        <w:t>Σύμφωνα, και πάλι, με το Παρατηρητήριο, για το 2012 στην Ελλάδα, μόλις 7 από τις 20 βασικές –κατά την ΕΕ- υπηρεσίες διεκπεραιώνονται πλήρως ηλεκτρονικά, εκ των οποίων 3 αφορούν πολίτες και 4 επιχειρήσεις. Πλήρως ηλεκτρονικά προσφέρονται οι υπηρεσίες που αφορούν στη φορολογία (υποβολή φόρου εισοδήματος φυσικών προσώπων και επιχειρήσεων, απόδοση ΦΠΑ), την εύρεση εργασίας, τη δήλωση αλλαγής διεύθυνσης, τις τελωνειακές διασαφήσεις και τις εισφορές κοινωνικής ασφάλισης προς εργαζομένους. Συνολικά, η Ελλάδα έχει ένα ποσοστό 70% όσον αφορά στην ολοκλήρωση υπηρεσιών ηλεκτρονικής διακυβέρνησης όταν η ΕΕ είναι στο 90%.</w:t>
      </w:r>
    </w:p>
    <w:p w:rsidR="00B80D22" w:rsidRPr="005049F1" w:rsidRDefault="00B80D22" w:rsidP="00B80D22">
      <w:pPr>
        <w:spacing w:after="0" w:line="255" w:lineRule="atLeast"/>
        <w:rPr>
          <w:rFonts w:ascii="Helvetica" w:eastAsia="Times New Roman" w:hAnsi="Helvetica" w:cs="Helvetica"/>
          <w:color w:val="2C2C2C"/>
          <w:sz w:val="21"/>
          <w:szCs w:val="21"/>
        </w:rPr>
      </w:pPr>
      <w:r w:rsidRPr="005049F1">
        <w:rPr>
          <w:rFonts w:ascii="Helvetica" w:eastAsia="Times New Roman" w:hAnsi="Helvetica" w:cs="Helvetica"/>
          <w:b/>
          <w:bCs/>
          <w:color w:val="2C2C2C"/>
          <w:sz w:val="21"/>
        </w:rPr>
        <w:t>Ευρώπη</w:t>
      </w:r>
    </w:p>
    <w:p w:rsidR="00B80D22" w:rsidRPr="005049F1" w:rsidRDefault="00B80D22" w:rsidP="00B80D22">
      <w:pPr>
        <w:spacing w:after="0" w:line="255" w:lineRule="atLeast"/>
        <w:rPr>
          <w:rFonts w:ascii="Helvetica" w:eastAsia="Times New Roman" w:hAnsi="Helvetica" w:cs="Helvetica"/>
          <w:color w:val="2C2C2C"/>
          <w:sz w:val="21"/>
          <w:szCs w:val="21"/>
        </w:rPr>
      </w:pPr>
      <w:r w:rsidRPr="005049F1">
        <w:rPr>
          <w:rFonts w:ascii="Helvetica" w:eastAsia="Times New Roman" w:hAnsi="Helvetica" w:cs="Helvetica"/>
          <w:color w:val="2C2C2C"/>
          <w:sz w:val="21"/>
          <w:szCs w:val="21"/>
        </w:rPr>
        <w:t xml:space="preserve">Στην Ευρώπη, το ενδιαφέρον για τις υπηρεσίες ηλεκτρονικής διακυβέρνησης διευρύνεται διαρκώς. Σύμφωνα με το </w:t>
      </w:r>
      <w:proofErr w:type="spellStart"/>
      <w:r w:rsidRPr="005049F1">
        <w:rPr>
          <w:rFonts w:ascii="Helvetica" w:eastAsia="Times New Roman" w:hAnsi="Helvetica" w:cs="Helvetica"/>
          <w:color w:val="2C2C2C"/>
          <w:sz w:val="21"/>
          <w:szCs w:val="21"/>
        </w:rPr>
        <w:t>eGovernment</w:t>
      </w:r>
      <w:proofErr w:type="spellEnd"/>
      <w:r w:rsidRPr="005049F1">
        <w:rPr>
          <w:rFonts w:ascii="Helvetica" w:eastAsia="Times New Roman" w:hAnsi="Helvetica" w:cs="Helvetica"/>
          <w:color w:val="2C2C2C"/>
          <w:sz w:val="21"/>
          <w:szCs w:val="21"/>
        </w:rPr>
        <w:t xml:space="preserve"> </w:t>
      </w:r>
      <w:proofErr w:type="spellStart"/>
      <w:r w:rsidRPr="005049F1">
        <w:rPr>
          <w:rFonts w:ascii="Helvetica" w:eastAsia="Times New Roman" w:hAnsi="Helvetica" w:cs="Helvetica"/>
          <w:color w:val="2C2C2C"/>
          <w:sz w:val="21"/>
          <w:szCs w:val="21"/>
        </w:rPr>
        <w:t>Benchmark</w:t>
      </w:r>
      <w:proofErr w:type="spellEnd"/>
      <w:r w:rsidRPr="005049F1">
        <w:rPr>
          <w:rFonts w:ascii="Helvetica" w:eastAsia="Times New Roman" w:hAnsi="Helvetica" w:cs="Helvetica"/>
          <w:color w:val="2C2C2C"/>
          <w:sz w:val="21"/>
          <w:szCs w:val="21"/>
        </w:rPr>
        <w:t xml:space="preserve"> 2012, σχεδόν</w:t>
      </w:r>
    </w:p>
    <w:p w:rsidR="00B80D22" w:rsidRPr="005049F1" w:rsidRDefault="00B80D22" w:rsidP="00B80D22">
      <w:pPr>
        <w:spacing w:after="0" w:line="255" w:lineRule="atLeast"/>
        <w:rPr>
          <w:rFonts w:ascii="Helvetica" w:eastAsia="Times New Roman" w:hAnsi="Helvetica" w:cs="Helvetica"/>
          <w:color w:val="2C2C2C"/>
          <w:sz w:val="21"/>
          <w:szCs w:val="21"/>
        </w:rPr>
      </w:pPr>
      <w:r w:rsidRPr="005049F1">
        <w:rPr>
          <w:rFonts w:ascii="Helvetica" w:eastAsia="Times New Roman" w:hAnsi="Helvetica" w:cs="Helvetica"/>
          <w:color w:val="2C2C2C"/>
          <w:sz w:val="21"/>
          <w:szCs w:val="21"/>
        </w:rPr>
        <w:t>οι μισοί πολίτες της Ευρωπαϊκής Ένωσης (46%) χρησιμοποιούν πλέον το Διαδίκτυο για να βρουν δουλειά, να συμβουλευτούν δημόσιες βιβλιοθήκες, να υποβάλουν τη φορολογική τους δήλωση, να καταχωρίσουν τη γέννηση του παιδιού τους, να υποβάλουν αίτηση διαβατηρίου ή για άλλες υπηρεσίες ηλεκτρονικής διακυβέρνησης. Το 80% αναφέρουν ότι χάρη στις ηλεκτρονικές δημόσιες υπηρεσίες εξοικονομούν χρόνο, το 76% ότι τους αρέσει η ευελιξία που τους προσφέρουν και το 62% ότι τους βοηθούν να εξοικονομούν χρήματα. Ωστόσο, οι χρήστες δηλώνουν περισσότερο ικανοποιημένοι από τις ηλεκτρονικές τραπεζικές υπηρεσίες (βαθμός ικανοποίησης 8,5 με άριστα το 10) και τις ηλεκτρονικές αγορές (7,6), παρά από τις ηλεκτρονικές δημόσιες υπηρεσίες (6,5).</w:t>
      </w:r>
    </w:p>
    <w:p w:rsidR="00B80D22" w:rsidRPr="005049F1" w:rsidRDefault="00B80D22" w:rsidP="00B80D22">
      <w:pPr>
        <w:spacing w:after="0" w:line="255" w:lineRule="atLeast"/>
        <w:rPr>
          <w:rFonts w:ascii="Helvetica" w:eastAsia="Times New Roman" w:hAnsi="Helvetica" w:cs="Helvetica"/>
          <w:color w:val="2C2C2C"/>
          <w:sz w:val="21"/>
          <w:szCs w:val="21"/>
        </w:rPr>
      </w:pPr>
      <w:r w:rsidRPr="005049F1">
        <w:rPr>
          <w:rFonts w:ascii="Helvetica" w:eastAsia="Times New Roman" w:hAnsi="Helvetica" w:cs="Helvetica"/>
          <w:color w:val="2C2C2C"/>
          <w:sz w:val="21"/>
          <w:szCs w:val="21"/>
        </w:rPr>
        <w:t>Η ΕΕ έχει θέσει ως στόχο να αυξήσει τη χρήση των υπηρεσιών ηλεκτρονικής διακυβέρνησης, έτσι ώστε ο αριθμός των χρηστών να φθάσει έως το 2015 το 50% των Ευρωπαίων πολιτών.</w:t>
      </w:r>
    </w:p>
    <w:p w:rsidR="00B80D22" w:rsidRPr="005049F1" w:rsidRDefault="00B80D22" w:rsidP="00B80D22">
      <w:pPr>
        <w:spacing w:after="0" w:line="255" w:lineRule="atLeast"/>
        <w:rPr>
          <w:rFonts w:ascii="Helvetica" w:eastAsia="Times New Roman" w:hAnsi="Helvetica" w:cs="Helvetica"/>
          <w:color w:val="2C2C2C"/>
          <w:sz w:val="21"/>
          <w:szCs w:val="21"/>
        </w:rPr>
      </w:pPr>
      <w:r w:rsidRPr="005049F1">
        <w:rPr>
          <w:rFonts w:ascii="Helvetica" w:eastAsia="Times New Roman" w:hAnsi="Helvetica" w:cs="Helvetica"/>
          <w:color w:val="2C2C2C"/>
          <w:sz w:val="21"/>
          <w:szCs w:val="21"/>
        </w:rPr>
        <w:t>Τα σημαντικότερα συμπεράσματα της έρευνας είναι τα εξής:</w:t>
      </w:r>
    </w:p>
    <w:p w:rsidR="00B80D22" w:rsidRPr="005049F1" w:rsidRDefault="00B80D22" w:rsidP="00B80D22">
      <w:pPr>
        <w:numPr>
          <w:ilvl w:val="0"/>
          <w:numId w:val="1"/>
        </w:numPr>
        <w:spacing w:after="0" w:line="255" w:lineRule="atLeast"/>
        <w:rPr>
          <w:rFonts w:ascii="Helvetica" w:eastAsia="Times New Roman" w:hAnsi="Helvetica" w:cs="Helvetica"/>
          <w:color w:val="2C2C2C"/>
          <w:sz w:val="21"/>
          <w:szCs w:val="21"/>
        </w:rPr>
      </w:pPr>
      <w:r w:rsidRPr="005049F1">
        <w:rPr>
          <w:rFonts w:ascii="Helvetica" w:eastAsia="Times New Roman" w:hAnsi="Helvetica" w:cs="Helvetica"/>
          <w:color w:val="2C2C2C"/>
          <w:sz w:val="21"/>
          <w:szCs w:val="21"/>
        </w:rPr>
        <w:t>Οι πιο δημοφιλείς υπηρεσίες ήταν η δήλωση φόρου εισοδήματος (το 73% των χρηστών υποβάλλουν τη φορολογική τους δήλωση ηλεκτρονικά), η δήλωση αλλαγής διεύθυνσης (57%) και η εγγραφή σε ίδρυμα τριτοβάθμιας εκπαίδευσης και/ή η υποβολή αίτησης για σπουδαστική υποτροφία (56%).</w:t>
      </w:r>
    </w:p>
    <w:p w:rsidR="00B80D22" w:rsidRPr="005049F1" w:rsidRDefault="00B80D22" w:rsidP="00B80D22">
      <w:pPr>
        <w:numPr>
          <w:ilvl w:val="0"/>
          <w:numId w:val="1"/>
        </w:numPr>
        <w:spacing w:after="0" w:line="255" w:lineRule="atLeast"/>
        <w:rPr>
          <w:rFonts w:ascii="Helvetica" w:eastAsia="Times New Roman" w:hAnsi="Helvetica" w:cs="Helvetica"/>
          <w:color w:val="2C2C2C"/>
          <w:sz w:val="21"/>
          <w:szCs w:val="21"/>
        </w:rPr>
      </w:pPr>
      <w:r w:rsidRPr="005049F1">
        <w:rPr>
          <w:rFonts w:ascii="Helvetica" w:eastAsia="Times New Roman" w:hAnsi="Helvetica" w:cs="Helvetica"/>
          <w:color w:val="2C2C2C"/>
          <w:sz w:val="21"/>
          <w:szCs w:val="21"/>
        </w:rPr>
        <w:t>Παρόλο που το 54% των ερωτηθέντων εξακολουθούν να προτιμούν τις συναλλαγές πρόσωπο με πρόσωπο ή άλλες παραδοσιακές μορφές εξυπηρέτησης, τουλάχιστον το 30% δήλωσαν ότι θα μπορούσαν να είναι τακτικοί χρήστες υπηρεσιών ηλεκτρονικής διακυβέρνησης, εάν οι παρεχόμενες υπηρεσίες ήταν καλύτερα προσαρμοσμένες στις ανάγκες τους.</w:t>
      </w:r>
    </w:p>
    <w:p w:rsidR="00B80D22" w:rsidRPr="005049F1" w:rsidRDefault="00B80D22" w:rsidP="00B80D22">
      <w:pPr>
        <w:numPr>
          <w:ilvl w:val="0"/>
          <w:numId w:val="1"/>
        </w:numPr>
        <w:spacing w:after="0" w:line="255" w:lineRule="atLeast"/>
        <w:rPr>
          <w:rFonts w:ascii="Helvetica" w:eastAsia="Times New Roman" w:hAnsi="Helvetica" w:cs="Helvetica"/>
          <w:color w:val="2C2C2C"/>
          <w:sz w:val="21"/>
          <w:szCs w:val="21"/>
        </w:rPr>
      </w:pPr>
      <w:r w:rsidRPr="005049F1">
        <w:rPr>
          <w:rFonts w:ascii="Helvetica" w:eastAsia="Times New Roman" w:hAnsi="Helvetica" w:cs="Helvetica"/>
          <w:color w:val="2C2C2C"/>
          <w:sz w:val="21"/>
          <w:szCs w:val="21"/>
        </w:rPr>
        <w:t>Το 47% των χρηστών ηλεκτρονικών δημόσιων υπηρεσιών κατάφεραν να διεκπεραιώσουν αυτό που ήθελαν, ενώ το 46% το διεκπεραίωσαν μόνον εν μέρει.</w:t>
      </w:r>
    </w:p>
    <w:p w:rsidR="00B80D22" w:rsidRPr="005049F1" w:rsidRDefault="00B80D22" w:rsidP="00B80D22">
      <w:pPr>
        <w:spacing w:after="195" w:line="255" w:lineRule="atLeast"/>
        <w:rPr>
          <w:rFonts w:ascii="Helvetica" w:eastAsia="Times New Roman" w:hAnsi="Helvetica" w:cs="Helvetica"/>
          <w:color w:val="2C2C2C"/>
          <w:sz w:val="21"/>
          <w:szCs w:val="21"/>
        </w:rPr>
      </w:pPr>
      <w:r w:rsidRPr="005049F1">
        <w:rPr>
          <w:rFonts w:ascii="Helvetica" w:eastAsia="Times New Roman" w:hAnsi="Helvetica" w:cs="Helvetica"/>
          <w:color w:val="2C2C2C"/>
          <w:sz w:val="21"/>
          <w:szCs w:val="21"/>
        </w:rPr>
        <w:t xml:space="preserve">Η έκθεση δείχνει επίσης ότι είναι αναγκαίο να βελτιωθούν οι διαδικτυακές υπηρεσίες που σχετίζονται με σημαντικά γεγονότα στη ζωή ενός πολίτη, όπως η απώλεια ή η εύρεση εργασίας, η σύσταση επιχείρησης και η εγγραφή για σπουδές. Για τους πολίτες που διαμένουν στην πατρίδα τους, κατά μέσο όρο περισσότερες από τις μισές διοικητικές διαδικασίες για τέτοιου είδους γεγονότα μπορούν να πραγματοποιούνται ηλεκτρονικά. Για τις υπόλοιπες μισές, οι </w:t>
      </w:r>
      <w:proofErr w:type="spellStart"/>
      <w:r w:rsidRPr="005049F1">
        <w:rPr>
          <w:rFonts w:ascii="Helvetica" w:eastAsia="Times New Roman" w:hAnsi="Helvetica" w:cs="Helvetica"/>
          <w:color w:val="2C2C2C"/>
          <w:sz w:val="21"/>
          <w:szCs w:val="21"/>
        </w:rPr>
        <w:t>ιστότοποι</w:t>
      </w:r>
      <w:proofErr w:type="spellEnd"/>
      <w:r w:rsidRPr="005049F1">
        <w:rPr>
          <w:rFonts w:ascii="Helvetica" w:eastAsia="Times New Roman" w:hAnsi="Helvetica" w:cs="Helvetica"/>
          <w:color w:val="2C2C2C"/>
          <w:sz w:val="21"/>
          <w:szCs w:val="21"/>
        </w:rPr>
        <w:t xml:space="preserve"> δίνουν σχετικές πληροφορίες. Ωστόσο, απαιτείται μεγαλύτερη διαφάνεια και </w:t>
      </w:r>
      <w:proofErr w:type="spellStart"/>
      <w:r w:rsidRPr="005049F1">
        <w:rPr>
          <w:rFonts w:ascii="Helvetica" w:eastAsia="Times New Roman" w:hAnsi="Helvetica" w:cs="Helvetica"/>
          <w:color w:val="2C2C2C"/>
          <w:sz w:val="21"/>
          <w:szCs w:val="21"/>
        </w:rPr>
        <w:t>διαδραστικότητα</w:t>
      </w:r>
      <w:proofErr w:type="spellEnd"/>
      <w:r w:rsidRPr="005049F1">
        <w:rPr>
          <w:rFonts w:ascii="Helvetica" w:eastAsia="Times New Roman" w:hAnsi="Helvetica" w:cs="Helvetica"/>
          <w:color w:val="2C2C2C"/>
          <w:sz w:val="21"/>
          <w:szCs w:val="21"/>
        </w:rPr>
        <w:t xml:space="preserve">, ώστε οι πολίτες να έχουν μεγαλύτερη αυτονομία. Η κατάσταση είναι όμως χειρότερη για τα 2 σχεδόν εκατομμύρια πολιτών που </w:t>
      </w:r>
      <w:proofErr w:type="spellStart"/>
      <w:r w:rsidRPr="005049F1">
        <w:rPr>
          <w:rFonts w:ascii="Helvetica" w:eastAsia="Times New Roman" w:hAnsi="Helvetica" w:cs="Helvetica"/>
          <w:color w:val="2C2C2C"/>
          <w:sz w:val="21"/>
          <w:szCs w:val="21"/>
        </w:rPr>
        <w:t>μετεγκαθίστανται</w:t>
      </w:r>
      <w:proofErr w:type="spellEnd"/>
      <w:r w:rsidRPr="005049F1">
        <w:rPr>
          <w:rFonts w:ascii="Helvetica" w:eastAsia="Times New Roman" w:hAnsi="Helvetica" w:cs="Helvetica"/>
          <w:color w:val="2C2C2C"/>
          <w:sz w:val="21"/>
          <w:szCs w:val="21"/>
        </w:rPr>
        <w:t xml:space="preserve"> ή μετακινούνται για λόγους εργασίας σε άλλα κράτη μέλη της Ένωσης. Παρόλο που στην πλειονότητά τους τα κράτη μέλη παρέχουν ορισμένες πληροφορίες για πραγματοποίηση σπουδών ή σύσταση επιχείρησης από το εξωτερικό, η ηλεκτρονική </w:t>
      </w:r>
      <w:r w:rsidRPr="005049F1">
        <w:rPr>
          <w:rFonts w:ascii="Helvetica" w:eastAsia="Times New Roman" w:hAnsi="Helvetica" w:cs="Helvetica"/>
          <w:color w:val="2C2C2C"/>
          <w:sz w:val="21"/>
          <w:szCs w:val="21"/>
        </w:rPr>
        <w:lastRenderedPageBreak/>
        <w:t>εγγραφή είναι μάλλον σπάνια. Μόνον 9 χώρες επιτρέπουν στους πολίτες άλλων κρατών μελών της ΕΕ να εγγράφονται για σπουδές ηλεκτρονικά, ενώ μόνον 17 χώρες τούς επιτρέπουν να κάνουν ορισμένα βήματα για τη σύσταση επιχείρησης μέσω Διαδικτύου.</w:t>
      </w:r>
    </w:p>
    <w:p w:rsidR="00B80D22" w:rsidRDefault="00B80D22" w:rsidP="00B80D22">
      <w:r>
        <w:t>Ερωτήσεις:</w:t>
      </w:r>
    </w:p>
    <w:p w:rsidR="00B80D22" w:rsidRPr="00ED6073" w:rsidRDefault="00B80D22" w:rsidP="00B80D22">
      <w:r>
        <w:t xml:space="preserve">1)Ποια τα οφέλη α)για τους πολίτες και β)για το κράτος από τη λεγόμενη </w:t>
      </w:r>
      <w:r>
        <w:rPr>
          <w:i/>
        </w:rPr>
        <w:t xml:space="preserve">ηλεκτρονική </w:t>
      </w:r>
      <w:proofErr w:type="spellStart"/>
      <w:r>
        <w:rPr>
          <w:i/>
        </w:rPr>
        <w:t>διακυνέρνηση</w:t>
      </w:r>
      <w:proofErr w:type="spellEnd"/>
      <w:r>
        <w:t>;</w:t>
      </w:r>
    </w:p>
    <w:p w:rsidR="00B80D22" w:rsidRDefault="00B80D22" w:rsidP="00B80D22">
      <w:r>
        <w:t>2)Πόσο πολύ έχει υιοθετήσει το ελληνικό κράτος το μοντέλο της ηλεκτρονικής διακυβέρνησης;</w:t>
      </w:r>
    </w:p>
    <w:p w:rsidR="007F77C4" w:rsidRDefault="007F77C4"/>
    <w:sectPr w:rsidR="007F77C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9824F1"/>
    <w:multiLevelType w:val="multilevel"/>
    <w:tmpl w:val="FDE0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80D22"/>
    <w:rsid w:val="007F77C4"/>
    <w:rsid w:val="00B80D2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80D2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80D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europa.eu/digital-agenda/en/pillar-7-ict-enabled-benefits-eu-socie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content-mcdn.imerisia.gr/filesystem/images/20120514/low/assets_LARGE_t_942_43378764.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5331</Characters>
  <Application>Microsoft Office Word</Application>
  <DocSecurity>0</DocSecurity>
  <Lines>44</Lines>
  <Paragraphs>12</Paragraphs>
  <ScaleCrop>false</ScaleCrop>
  <Company/>
  <LinksUpToDate>false</LinksUpToDate>
  <CharactersWithSpaces>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2015-10-07T12:53:00Z</dcterms:created>
  <dcterms:modified xsi:type="dcterms:W3CDTF">2015-10-07T12:53:00Z</dcterms:modified>
</cp:coreProperties>
</file>