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4D" w:rsidRPr="00AF5E4D" w:rsidRDefault="00AF5E4D" w:rsidP="00F07962">
      <w:pPr>
        <w:jc w:val="center"/>
        <w:rPr>
          <w:b/>
        </w:rPr>
      </w:pPr>
      <w:r>
        <w:rPr>
          <w:b/>
        </w:rPr>
        <w:t>ΦΥΛΛΟ ΜΕΛΕΤΗΣ 1</w:t>
      </w:r>
    </w:p>
    <w:p w:rsidR="00C72B78" w:rsidRDefault="00F07962" w:rsidP="00F07962">
      <w:pPr>
        <w:jc w:val="center"/>
        <w:rPr>
          <w:b/>
        </w:rPr>
      </w:pPr>
      <w:r w:rsidRPr="00F07962">
        <w:rPr>
          <w:b/>
        </w:rPr>
        <w:t>ΔΕΛΤΙΟ ΤΕΧΝΙΚΟΥ ΕΛΕΓΧΟΥ ΚΑΙ ΚΑΡΤΑ ΕΛΕΓΧΟΥ ΚΑΥΣΑΕΡΙΩΝ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6591"/>
        <w:gridCol w:w="4183"/>
      </w:tblGrid>
      <w:tr w:rsidR="00A315E6" w:rsidTr="005F221C">
        <w:tc>
          <w:tcPr>
            <w:tcW w:w="6591" w:type="dxa"/>
          </w:tcPr>
          <w:p w:rsidR="00A315E6" w:rsidRDefault="00F50A80" w:rsidP="00F07962">
            <w:pPr>
              <w:jc w:val="center"/>
              <w:rPr>
                <w:b/>
              </w:rPr>
            </w:pPr>
            <w:r w:rsidRPr="00F50A80">
              <w:rPr>
                <w:b/>
              </w:rPr>
              <w:t>ΔΕΛΤΙΟ ΤΕΧΝΙΚΟΥ ΕΛΕΓΧΟΥ</w:t>
            </w:r>
            <w:r>
              <w:rPr>
                <w:b/>
              </w:rPr>
              <w:t xml:space="preserve"> ΟΧΗΜΑΤΟΣ</w:t>
            </w:r>
          </w:p>
        </w:tc>
        <w:tc>
          <w:tcPr>
            <w:tcW w:w="4183" w:type="dxa"/>
          </w:tcPr>
          <w:p w:rsidR="00A315E6" w:rsidRDefault="00A315E6" w:rsidP="00F07962">
            <w:pPr>
              <w:jc w:val="center"/>
              <w:rPr>
                <w:b/>
              </w:rPr>
            </w:pPr>
            <w:r>
              <w:rPr>
                <w:b/>
              </w:rPr>
              <w:t>ΜΕΤΡΗΣΕΙΣ ΡΥΠΩΝ</w:t>
            </w:r>
          </w:p>
        </w:tc>
      </w:tr>
      <w:tr w:rsidR="00A315E6" w:rsidTr="005F221C">
        <w:trPr>
          <w:trHeight w:val="9413"/>
        </w:trPr>
        <w:tc>
          <w:tcPr>
            <w:tcW w:w="6591" w:type="dxa"/>
          </w:tcPr>
          <w:p w:rsidR="00A315E6" w:rsidRDefault="00A315E6" w:rsidP="00F07962">
            <w:pPr>
              <w:jc w:val="center"/>
              <w:rPr>
                <w:b/>
              </w:rPr>
            </w:pPr>
          </w:p>
          <w:p w:rsidR="00A315E6" w:rsidRDefault="00A315E6" w:rsidP="00F07962">
            <w:pPr>
              <w:jc w:val="center"/>
              <w:rPr>
                <w:b/>
              </w:rPr>
            </w:pPr>
          </w:p>
          <w:p w:rsidR="00A315E6" w:rsidRDefault="00A315E6" w:rsidP="00F07962">
            <w:pPr>
              <w:jc w:val="center"/>
              <w:rPr>
                <w:b/>
              </w:rPr>
            </w:pPr>
          </w:p>
          <w:p w:rsidR="00A315E6" w:rsidRDefault="00F50A80" w:rsidP="00F07962">
            <w:pPr>
              <w:jc w:val="center"/>
              <w:rPr>
                <w:b/>
              </w:rPr>
            </w:pPr>
            <w:r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50921" wp14:editId="3FDC414E">
                      <wp:simplePos x="0" y="0"/>
                      <wp:positionH relativeFrom="column">
                        <wp:posOffset>1670258</wp:posOffset>
                      </wp:positionH>
                      <wp:positionV relativeFrom="paragraph">
                        <wp:posOffset>681024</wp:posOffset>
                      </wp:positionV>
                      <wp:extent cx="2411095" cy="852805"/>
                      <wp:effectExtent l="57150" t="57150" r="0" b="118745"/>
                      <wp:wrapNone/>
                      <wp:docPr id="4" name="Ευθύγραμμο βέλος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1095" cy="8528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4" o:spid="_x0000_s1026" type="#_x0000_t32" style="position:absolute;margin-left:131.5pt;margin-top:53.6pt;width:189.85pt;height:67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" strokecolor="#c0504d [3205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A315E6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23303" wp14:editId="582BE696">
                      <wp:simplePos x="0" y="0"/>
                      <wp:positionH relativeFrom="column">
                        <wp:posOffset>3899852</wp:posOffset>
                      </wp:positionH>
                      <wp:positionV relativeFrom="paragraph">
                        <wp:posOffset>573562</wp:posOffset>
                      </wp:positionV>
                      <wp:extent cx="808355" cy="358140"/>
                      <wp:effectExtent l="0" t="3492" r="26352" b="26353"/>
                      <wp:wrapNone/>
                      <wp:docPr id="30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5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A80" w:rsidRDefault="00F50A80" w:rsidP="00F50A80">
                                  <w:pPr>
                                    <w:jc w:val="center"/>
                                  </w:pPr>
                                  <w:r>
                                    <w:t>ΡΥΠΟΙ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307.05pt;margin-top:45.15pt;width:63.65pt;height:28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">
                      <v:textbox>
                        <w:txbxContent>
                          <w:p w:rsidR="00F50A80" w:rsidRDefault="00F50A80" w:rsidP="00F50A80">
                            <w:pPr>
                              <w:jc w:val="center"/>
                            </w:pPr>
                            <w:r>
                              <w:t>ΡΥΠΟΙ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5E6">
              <w:rPr>
                <w:b/>
                <w:noProof/>
                <w:lang w:eastAsia="el-GR"/>
              </w:rPr>
              <w:drawing>
                <wp:inline distT="0" distB="0" distL="0" distR="0" wp14:anchorId="2739E2EF" wp14:editId="72C3A783">
                  <wp:extent cx="3885654" cy="5643349"/>
                  <wp:effectExtent l="0" t="0" r="63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119" cy="5651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15E6" w:rsidRDefault="00A315E6" w:rsidP="00F07962">
            <w:pPr>
              <w:jc w:val="center"/>
              <w:rPr>
                <w:b/>
              </w:rPr>
            </w:pPr>
          </w:p>
        </w:tc>
        <w:tc>
          <w:tcPr>
            <w:tcW w:w="4183" w:type="dxa"/>
          </w:tcPr>
          <w:p w:rsidR="00A315E6" w:rsidRDefault="00A315E6" w:rsidP="00F07962">
            <w:pPr>
              <w:jc w:val="center"/>
              <w:rPr>
                <w:b/>
              </w:rPr>
            </w:pPr>
          </w:p>
          <w:p w:rsidR="00A315E6" w:rsidRDefault="00A315E6" w:rsidP="00F07962">
            <w:pPr>
              <w:jc w:val="center"/>
              <w:rPr>
                <w:b/>
              </w:rPr>
            </w:pPr>
            <w:r>
              <w:rPr>
                <w:b/>
              </w:rPr>
              <w:t>Συμπλήρωση στο ΔΤΕ τις</w:t>
            </w:r>
          </w:p>
          <w:p w:rsidR="00A315E6" w:rsidRDefault="00A315E6" w:rsidP="00A315E6">
            <w:pPr>
              <w:rPr>
                <w:b/>
              </w:rPr>
            </w:pPr>
            <w:r>
              <w:rPr>
                <w:b/>
              </w:rPr>
              <w:t xml:space="preserve">μετρήσεις των ρύπων. </w:t>
            </w:r>
          </w:p>
          <w:p w:rsidR="00A315E6" w:rsidRDefault="00A315E6" w:rsidP="00F07962">
            <w:pPr>
              <w:jc w:val="center"/>
              <w:rPr>
                <w:b/>
              </w:rPr>
            </w:pPr>
          </w:p>
          <w:p w:rsidR="00A315E6" w:rsidRDefault="00A315E6" w:rsidP="00A315E6">
            <w:pPr>
              <w:rPr>
                <w:b/>
              </w:rPr>
            </w:pPr>
          </w:p>
          <w:tbl>
            <w:tblPr>
              <w:tblStyle w:val="a4"/>
              <w:tblW w:w="3787" w:type="dxa"/>
              <w:tblLook w:val="04A0" w:firstRow="1" w:lastRow="0" w:firstColumn="1" w:lastColumn="0" w:noHBand="0" w:noVBand="1"/>
            </w:tblPr>
            <w:tblGrid>
              <w:gridCol w:w="381"/>
              <w:gridCol w:w="859"/>
              <w:gridCol w:w="739"/>
              <w:gridCol w:w="668"/>
              <w:gridCol w:w="438"/>
              <w:gridCol w:w="702"/>
            </w:tblGrid>
            <w:tr w:rsidR="00AF5E4D" w:rsidTr="00F50A80">
              <w:trPr>
                <w:trHeight w:val="417"/>
              </w:trPr>
              <w:tc>
                <w:tcPr>
                  <w:tcW w:w="447" w:type="dxa"/>
                  <w:vMerge w:val="restart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6" w:type="dxa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6" w:type="dxa"/>
                </w:tcPr>
                <w:p w:rsidR="00A315E6" w:rsidRPr="003D0516" w:rsidRDefault="00F50A80" w:rsidP="00F07962">
                  <w:pPr>
                    <w:jc w:val="center"/>
                    <w:rPr>
                      <w:b/>
                      <w:color w:val="C00000"/>
                    </w:rPr>
                  </w:pPr>
                  <w:r w:rsidRPr="00AF5E4D">
                    <w:rPr>
                      <w:b/>
                      <w:color w:val="C00000"/>
                      <w:lang w:val="en-US"/>
                    </w:rPr>
                    <w:t>CO</w:t>
                  </w:r>
                  <w:r w:rsidR="00AF5E4D" w:rsidRPr="003D0516">
                    <w:rPr>
                      <w:b/>
                      <w:color w:val="C00000"/>
                    </w:rPr>
                    <w:t xml:space="preserve"> </w:t>
                  </w:r>
                  <w:r w:rsidR="00AF5E4D" w:rsidRPr="003D0516">
                    <w:rPr>
                      <w:b/>
                      <w:color w:val="C00000"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543" w:type="dxa"/>
                </w:tcPr>
                <w:p w:rsidR="00AF5E4D" w:rsidRPr="003D0516" w:rsidRDefault="00F50A80" w:rsidP="00F07962">
                  <w:pPr>
                    <w:jc w:val="center"/>
                    <w:rPr>
                      <w:b/>
                      <w:color w:val="C00000"/>
                    </w:rPr>
                  </w:pPr>
                  <w:r w:rsidRPr="00AF5E4D">
                    <w:rPr>
                      <w:b/>
                      <w:color w:val="C00000"/>
                      <w:lang w:val="en-US"/>
                    </w:rPr>
                    <w:t>HC</w:t>
                  </w:r>
                </w:p>
                <w:p w:rsidR="00A315E6" w:rsidRPr="003D0516" w:rsidRDefault="00AF5E4D" w:rsidP="00F07962">
                  <w:pPr>
                    <w:jc w:val="center"/>
                    <w:rPr>
                      <w:b/>
                      <w:color w:val="C00000"/>
                    </w:rPr>
                  </w:pPr>
                  <w:r w:rsidRPr="003D0516">
                    <w:rPr>
                      <w:b/>
                      <w:color w:val="C00000"/>
                      <w:sz w:val="18"/>
                      <w:szCs w:val="18"/>
                    </w:rPr>
                    <w:t>(</w:t>
                  </w:r>
                  <w:r w:rsidRPr="00AF5E4D">
                    <w:rPr>
                      <w:b/>
                      <w:color w:val="C00000"/>
                      <w:sz w:val="18"/>
                      <w:szCs w:val="18"/>
                      <w:lang w:val="en-US"/>
                    </w:rPr>
                    <w:t>ppm</w:t>
                  </w:r>
                  <w:r w:rsidRPr="003D0516">
                    <w:rPr>
                      <w:b/>
                      <w:color w:val="C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86" w:type="dxa"/>
                </w:tcPr>
                <w:p w:rsidR="00A315E6" w:rsidRPr="00AF5E4D" w:rsidRDefault="00F50A80" w:rsidP="00F07962">
                  <w:pPr>
                    <w:jc w:val="center"/>
                    <w:rPr>
                      <w:b/>
                      <w:color w:val="C00000"/>
                    </w:rPr>
                  </w:pPr>
                  <w:r w:rsidRPr="00AF5E4D">
                    <w:rPr>
                      <w:b/>
                      <w:color w:val="C00000"/>
                    </w:rPr>
                    <w:t>λ</w:t>
                  </w:r>
                </w:p>
              </w:tc>
              <w:tc>
                <w:tcPr>
                  <w:tcW w:w="819" w:type="dxa"/>
                </w:tcPr>
                <w:p w:rsidR="00AF5E4D" w:rsidRPr="003D0516" w:rsidRDefault="00F50A80" w:rsidP="00F50A80">
                  <w:pPr>
                    <w:jc w:val="center"/>
                    <w:rPr>
                      <w:b/>
                      <w:color w:val="C00000"/>
                    </w:rPr>
                  </w:pPr>
                  <w:r w:rsidRPr="00AF5E4D">
                    <w:rPr>
                      <w:b/>
                      <w:color w:val="C00000"/>
                    </w:rPr>
                    <w:t>Κ</w:t>
                  </w:r>
                </w:p>
                <w:p w:rsidR="00A315E6" w:rsidRPr="003D0516" w:rsidRDefault="00F50A80" w:rsidP="00F50A80">
                  <w:pPr>
                    <w:jc w:val="center"/>
                    <w:rPr>
                      <w:b/>
                      <w:color w:val="C00000"/>
                    </w:rPr>
                  </w:pPr>
                  <w:r w:rsidRPr="00AF5E4D">
                    <w:rPr>
                      <w:b/>
                      <w:color w:val="C00000"/>
                      <w:sz w:val="18"/>
                      <w:szCs w:val="18"/>
                    </w:rPr>
                    <w:t>(</w:t>
                  </w:r>
                  <w:r w:rsidRPr="00AF5E4D">
                    <w:rPr>
                      <w:b/>
                      <w:color w:val="C00000"/>
                      <w:sz w:val="18"/>
                      <w:szCs w:val="18"/>
                      <w:lang w:val="en-US"/>
                    </w:rPr>
                    <w:t>m</w:t>
                  </w:r>
                  <w:r w:rsidRPr="003D0516">
                    <w:rPr>
                      <w:b/>
                      <w:color w:val="C00000"/>
                      <w:sz w:val="18"/>
                      <w:szCs w:val="18"/>
                    </w:rPr>
                    <w:t xml:space="preserve"> -1)</w:t>
                  </w:r>
                </w:p>
              </w:tc>
            </w:tr>
            <w:tr w:rsidR="00AF5E4D" w:rsidTr="00F50A80">
              <w:trPr>
                <w:trHeight w:val="417"/>
              </w:trPr>
              <w:tc>
                <w:tcPr>
                  <w:tcW w:w="447" w:type="dxa"/>
                  <w:vMerge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6" w:type="dxa"/>
                </w:tcPr>
                <w:p w:rsidR="00A315E6" w:rsidRPr="00F50A80" w:rsidRDefault="00F50A80" w:rsidP="00F0796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A80">
                    <w:rPr>
                      <w:b/>
                      <w:sz w:val="18"/>
                      <w:szCs w:val="18"/>
                    </w:rPr>
                    <w:t>Ρελαντί</w:t>
                  </w:r>
                </w:p>
              </w:tc>
              <w:tc>
                <w:tcPr>
                  <w:tcW w:w="846" w:type="dxa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3" w:type="dxa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dxa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19" w:type="dxa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F5E4D" w:rsidTr="00F50A80">
              <w:trPr>
                <w:trHeight w:val="433"/>
              </w:trPr>
              <w:tc>
                <w:tcPr>
                  <w:tcW w:w="447" w:type="dxa"/>
                  <w:vMerge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6" w:type="dxa"/>
                </w:tcPr>
                <w:p w:rsidR="00A315E6" w:rsidRPr="00F50A80" w:rsidRDefault="00F50A80" w:rsidP="00F0796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50A80">
                    <w:rPr>
                      <w:b/>
                      <w:sz w:val="18"/>
                      <w:szCs w:val="18"/>
                    </w:rPr>
                    <w:t>Υψηλές στροφές</w:t>
                  </w:r>
                </w:p>
              </w:tc>
              <w:tc>
                <w:tcPr>
                  <w:tcW w:w="846" w:type="dxa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3" w:type="dxa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dxa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19" w:type="dxa"/>
                </w:tcPr>
                <w:p w:rsidR="00A315E6" w:rsidRDefault="00A315E6" w:rsidP="00F07962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315E6" w:rsidRDefault="00A315E6" w:rsidP="00F07962">
            <w:pPr>
              <w:jc w:val="center"/>
              <w:rPr>
                <w:b/>
              </w:rPr>
            </w:pPr>
          </w:p>
          <w:p w:rsidR="005F221C" w:rsidRDefault="005F221C" w:rsidP="005F221C">
            <w:pPr>
              <w:rPr>
                <w:b/>
              </w:rPr>
            </w:pPr>
            <w:r>
              <w:rPr>
                <w:b/>
              </w:rPr>
              <w:t>1. Οι μετρήσεις καταγράφονται είτε αυτόματα από τον αναλυτή καυσαερίων, είτε χειρόγραφα από πιστοποιημένο μηχανικό του συνεργείου ή του ελεγκτή ΚΤΕΟ.</w:t>
            </w:r>
          </w:p>
          <w:p w:rsidR="005F221C" w:rsidRDefault="005F221C" w:rsidP="00D45219">
            <w:pPr>
              <w:ind w:left="97"/>
              <w:rPr>
                <w:b/>
              </w:rPr>
            </w:pPr>
            <w:r>
              <w:rPr>
                <w:b/>
              </w:rPr>
              <w:t xml:space="preserve">2. Τα όρια </w:t>
            </w:r>
            <w:r w:rsidR="00CB7CCD">
              <w:rPr>
                <w:b/>
              </w:rPr>
              <w:t>των αερίων ρύπων Μονοξειδίου του άνθρακα</w:t>
            </w:r>
            <w:r w:rsidR="00CB7CCD" w:rsidRPr="00CB7CCD">
              <w:rPr>
                <w:b/>
              </w:rPr>
              <w:t xml:space="preserve"> </w:t>
            </w:r>
            <w:r w:rsidR="00CB7CCD">
              <w:rPr>
                <w:b/>
              </w:rPr>
              <w:t>(</w:t>
            </w:r>
            <w:r w:rsidR="00CB7CCD">
              <w:rPr>
                <w:b/>
                <w:lang w:val="en-US"/>
              </w:rPr>
              <w:t>CO</w:t>
            </w:r>
            <w:r w:rsidR="00CB7CCD" w:rsidRPr="00CB7CCD">
              <w:rPr>
                <w:b/>
              </w:rPr>
              <w:t xml:space="preserve">) </w:t>
            </w:r>
            <w:r w:rsidR="00CB7CCD">
              <w:rPr>
                <w:b/>
              </w:rPr>
              <w:t xml:space="preserve">και των </w:t>
            </w:r>
            <w:proofErr w:type="spellStart"/>
            <w:r w:rsidR="00CB7CCD">
              <w:rPr>
                <w:b/>
              </w:rPr>
              <w:t>Υδρογοναθράκων</w:t>
            </w:r>
            <w:proofErr w:type="spellEnd"/>
            <w:r w:rsidR="00CB7CCD">
              <w:rPr>
                <w:b/>
              </w:rPr>
              <w:t xml:space="preserve"> </w:t>
            </w:r>
            <w:r w:rsidR="00CB7CCD" w:rsidRPr="00CB7CCD">
              <w:rPr>
                <w:b/>
              </w:rPr>
              <w:t>(</w:t>
            </w:r>
            <w:r w:rsidR="00CB7CCD">
              <w:rPr>
                <w:b/>
                <w:lang w:val="en-US"/>
              </w:rPr>
              <w:t>HC</w:t>
            </w:r>
            <w:r w:rsidR="00CB7CCD" w:rsidRPr="00CB7CCD">
              <w:rPr>
                <w:b/>
              </w:rPr>
              <w:t>)</w:t>
            </w:r>
            <w:r w:rsidR="00CB7CCD">
              <w:rPr>
                <w:b/>
              </w:rPr>
              <w:t xml:space="preserve"> σε σχέση με το λόγο λάμδα (λ), για την έκδοση Κάρτας Ελέγχου Καυσαερίων (ΚΕΚ), εξαρτάται από </w:t>
            </w:r>
            <w:r w:rsidR="00D45219">
              <w:rPr>
                <w:b/>
              </w:rPr>
              <w:t>την νομοθεσία και κυρίως από το έτος κυκλοφορίας του οχήματος.</w:t>
            </w:r>
          </w:p>
          <w:p w:rsidR="00D45219" w:rsidRDefault="00D45219" w:rsidP="00D45219">
            <w:pPr>
              <w:ind w:left="97"/>
              <w:rPr>
                <w:b/>
              </w:rPr>
            </w:pPr>
          </w:p>
          <w:p w:rsidR="003D0516" w:rsidRDefault="00D45219" w:rsidP="00D45219">
            <w:pPr>
              <w:ind w:left="97"/>
              <w:rPr>
                <w:b/>
              </w:rPr>
            </w:pPr>
            <w:r>
              <w:rPr>
                <w:b/>
              </w:rPr>
              <w:t xml:space="preserve">Για τους όρους και προϋποθέσεις έκδοσης της ΚΕΚ, επισκεφθείτε την ιστοσελίδα του Υπουργείου Μεταφορών και Υποδομών </w:t>
            </w:r>
            <w:hyperlink r:id="rId7" w:history="1">
              <w:r w:rsidR="003D0516" w:rsidRPr="0066367A">
                <w:rPr>
                  <w:rStyle w:val="-"/>
                  <w:b/>
                </w:rPr>
                <w:t>http://www.yme.gr</w:t>
              </w:r>
            </w:hyperlink>
          </w:p>
          <w:p w:rsidR="00D45219" w:rsidRPr="00D45219" w:rsidRDefault="003D0516" w:rsidP="00D45219">
            <w:pPr>
              <w:ind w:left="97"/>
              <w:rPr>
                <w:b/>
              </w:rPr>
            </w:pPr>
            <w:r w:rsidRPr="003D0516">
              <w:rPr>
                <w:b/>
              </w:rPr>
              <w:t>/?getwhat=1&amp;oid=1429&amp;id=&amp;tid=1560</w:t>
            </w:r>
          </w:p>
          <w:p w:rsidR="00D45219" w:rsidRPr="00CB7CCD" w:rsidRDefault="00D45219" w:rsidP="00D45219">
            <w:pPr>
              <w:ind w:left="97"/>
              <w:rPr>
                <w:b/>
              </w:rPr>
            </w:pPr>
            <w:r>
              <w:rPr>
                <w:b/>
              </w:rPr>
              <w:t xml:space="preserve">   </w:t>
            </w:r>
            <w:bookmarkStart w:id="0" w:name="_GoBack"/>
            <w:bookmarkEnd w:id="0"/>
          </w:p>
        </w:tc>
      </w:tr>
    </w:tbl>
    <w:p w:rsidR="00A315E6" w:rsidRPr="00F07962" w:rsidRDefault="00A315E6" w:rsidP="00F07962">
      <w:pPr>
        <w:jc w:val="center"/>
        <w:rPr>
          <w:b/>
        </w:rPr>
      </w:pPr>
    </w:p>
    <w:p w:rsidR="00F07962" w:rsidRDefault="00F07962" w:rsidP="00F07962"/>
    <w:sectPr w:rsidR="00F07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568A"/>
    <w:multiLevelType w:val="hybridMultilevel"/>
    <w:tmpl w:val="5E74E4FC"/>
    <w:lvl w:ilvl="0" w:tplc="0408000F">
      <w:start w:val="1"/>
      <w:numFmt w:val="decimal"/>
      <w:lvlText w:val="%1."/>
      <w:lvlJc w:val="left"/>
      <w:pPr>
        <w:ind w:left="817" w:hanging="360"/>
      </w:pPr>
    </w:lvl>
    <w:lvl w:ilvl="1" w:tplc="04080019" w:tentative="1">
      <w:start w:val="1"/>
      <w:numFmt w:val="lowerLetter"/>
      <w:lvlText w:val="%2."/>
      <w:lvlJc w:val="left"/>
      <w:pPr>
        <w:ind w:left="1537" w:hanging="360"/>
      </w:pPr>
    </w:lvl>
    <w:lvl w:ilvl="2" w:tplc="0408001B" w:tentative="1">
      <w:start w:val="1"/>
      <w:numFmt w:val="lowerRoman"/>
      <w:lvlText w:val="%3."/>
      <w:lvlJc w:val="right"/>
      <w:pPr>
        <w:ind w:left="2257" w:hanging="180"/>
      </w:pPr>
    </w:lvl>
    <w:lvl w:ilvl="3" w:tplc="0408000F" w:tentative="1">
      <w:start w:val="1"/>
      <w:numFmt w:val="decimal"/>
      <w:lvlText w:val="%4."/>
      <w:lvlJc w:val="left"/>
      <w:pPr>
        <w:ind w:left="2977" w:hanging="360"/>
      </w:pPr>
    </w:lvl>
    <w:lvl w:ilvl="4" w:tplc="04080019" w:tentative="1">
      <w:start w:val="1"/>
      <w:numFmt w:val="lowerLetter"/>
      <w:lvlText w:val="%5."/>
      <w:lvlJc w:val="left"/>
      <w:pPr>
        <w:ind w:left="3697" w:hanging="360"/>
      </w:pPr>
    </w:lvl>
    <w:lvl w:ilvl="5" w:tplc="0408001B" w:tentative="1">
      <w:start w:val="1"/>
      <w:numFmt w:val="lowerRoman"/>
      <w:lvlText w:val="%6."/>
      <w:lvlJc w:val="right"/>
      <w:pPr>
        <w:ind w:left="4417" w:hanging="180"/>
      </w:pPr>
    </w:lvl>
    <w:lvl w:ilvl="6" w:tplc="0408000F" w:tentative="1">
      <w:start w:val="1"/>
      <w:numFmt w:val="decimal"/>
      <w:lvlText w:val="%7."/>
      <w:lvlJc w:val="left"/>
      <w:pPr>
        <w:ind w:left="5137" w:hanging="360"/>
      </w:pPr>
    </w:lvl>
    <w:lvl w:ilvl="7" w:tplc="04080019" w:tentative="1">
      <w:start w:val="1"/>
      <w:numFmt w:val="lowerLetter"/>
      <w:lvlText w:val="%8."/>
      <w:lvlJc w:val="left"/>
      <w:pPr>
        <w:ind w:left="5857" w:hanging="360"/>
      </w:pPr>
    </w:lvl>
    <w:lvl w:ilvl="8" w:tplc="0408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58575216"/>
    <w:multiLevelType w:val="hybridMultilevel"/>
    <w:tmpl w:val="A9C80D6E"/>
    <w:lvl w:ilvl="0" w:tplc="0408000F">
      <w:start w:val="1"/>
      <w:numFmt w:val="decimal"/>
      <w:lvlText w:val="%1."/>
      <w:lvlJc w:val="left"/>
      <w:pPr>
        <w:ind w:left="817" w:hanging="360"/>
      </w:pPr>
    </w:lvl>
    <w:lvl w:ilvl="1" w:tplc="04080019" w:tentative="1">
      <w:start w:val="1"/>
      <w:numFmt w:val="lowerLetter"/>
      <w:lvlText w:val="%2."/>
      <w:lvlJc w:val="left"/>
      <w:pPr>
        <w:ind w:left="1537" w:hanging="360"/>
      </w:pPr>
    </w:lvl>
    <w:lvl w:ilvl="2" w:tplc="0408001B" w:tentative="1">
      <w:start w:val="1"/>
      <w:numFmt w:val="lowerRoman"/>
      <w:lvlText w:val="%3."/>
      <w:lvlJc w:val="right"/>
      <w:pPr>
        <w:ind w:left="2257" w:hanging="180"/>
      </w:pPr>
    </w:lvl>
    <w:lvl w:ilvl="3" w:tplc="0408000F" w:tentative="1">
      <w:start w:val="1"/>
      <w:numFmt w:val="decimal"/>
      <w:lvlText w:val="%4."/>
      <w:lvlJc w:val="left"/>
      <w:pPr>
        <w:ind w:left="2977" w:hanging="360"/>
      </w:pPr>
    </w:lvl>
    <w:lvl w:ilvl="4" w:tplc="04080019" w:tentative="1">
      <w:start w:val="1"/>
      <w:numFmt w:val="lowerLetter"/>
      <w:lvlText w:val="%5."/>
      <w:lvlJc w:val="left"/>
      <w:pPr>
        <w:ind w:left="3697" w:hanging="360"/>
      </w:pPr>
    </w:lvl>
    <w:lvl w:ilvl="5" w:tplc="0408001B" w:tentative="1">
      <w:start w:val="1"/>
      <w:numFmt w:val="lowerRoman"/>
      <w:lvlText w:val="%6."/>
      <w:lvlJc w:val="right"/>
      <w:pPr>
        <w:ind w:left="4417" w:hanging="180"/>
      </w:pPr>
    </w:lvl>
    <w:lvl w:ilvl="6" w:tplc="0408000F" w:tentative="1">
      <w:start w:val="1"/>
      <w:numFmt w:val="decimal"/>
      <w:lvlText w:val="%7."/>
      <w:lvlJc w:val="left"/>
      <w:pPr>
        <w:ind w:left="5137" w:hanging="360"/>
      </w:pPr>
    </w:lvl>
    <w:lvl w:ilvl="7" w:tplc="04080019" w:tentative="1">
      <w:start w:val="1"/>
      <w:numFmt w:val="lowerLetter"/>
      <w:lvlText w:val="%8."/>
      <w:lvlJc w:val="left"/>
      <w:pPr>
        <w:ind w:left="5857" w:hanging="360"/>
      </w:pPr>
    </w:lvl>
    <w:lvl w:ilvl="8" w:tplc="0408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2"/>
    <w:rsid w:val="003D0516"/>
    <w:rsid w:val="005F221C"/>
    <w:rsid w:val="00A315E6"/>
    <w:rsid w:val="00AF5E4D"/>
    <w:rsid w:val="00C72B78"/>
    <w:rsid w:val="00CB7CCD"/>
    <w:rsid w:val="00D45219"/>
    <w:rsid w:val="00F07962"/>
    <w:rsid w:val="00F5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796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3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221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45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796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3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221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45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m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VlasPeg</dc:creator>
  <cp:lastModifiedBy>V</cp:lastModifiedBy>
  <cp:revision>4</cp:revision>
  <dcterms:created xsi:type="dcterms:W3CDTF">2015-07-06T16:54:00Z</dcterms:created>
  <dcterms:modified xsi:type="dcterms:W3CDTF">2015-07-07T00:37:00Z</dcterms:modified>
</cp:coreProperties>
</file>